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09" w:rsidRDefault="00970D09" w:rsidP="00970D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70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Go to Brand</w:t>
      </w:r>
    </w:p>
    <w:p w:rsidR="00891C12" w:rsidRPr="00891C12" w:rsidRDefault="00891C12" w:rsidP="00970D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</w:pPr>
      <w:r w:rsidRPr="00891C1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Branżowy program Promocji:</w:t>
      </w:r>
      <w:r w:rsidRPr="00891C1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  <w:t xml:space="preserve"> </w:t>
      </w:r>
    </w:p>
    <w:p w:rsidR="00891C12" w:rsidRDefault="00056E3B" w:rsidP="00970D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Usługi prozdrowotne</w:t>
      </w:r>
    </w:p>
    <w:p w:rsidR="00970D09" w:rsidRDefault="00970D09" w:rsidP="00970D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891C1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Nabór wniosków </w:t>
      </w:r>
      <w:r w:rsid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konkursie ogólnym </w:t>
      </w:r>
      <w:r w:rsidRPr="00891C1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do 11 marca 2020 r.</w:t>
      </w:r>
    </w:p>
    <w:p w:rsidR="00056E3B" w:rsidRPr="00056E3B" w:rsidRDefault="00056E3B" w:rsidP="00056E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Nabór wniosków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konkursie EXPO Dubaj 2020 do</w:t>
      </w:r>
      <w:r w:rsidRP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3</w:t>
      </w:r>
      <w:r w:rsidRP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1 marca 2020 r.</w:t>
      </w:r>
    </w:p>
    <w:p w:rsidR="00056E3B" w:rsidRPr="00891C12" w:rsidRDefault="00056E3B" w:rsidP="00970D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970D09" w:rsidRPr="00891C12" w:rsidRDefault="00970D09" w:rsidP="00970D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891C1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Wnioski wypełniamy poprzez </w:t>
      </w:r>
      <w:hyperlink r:id="rId8" w:history="1">
        <w:r w:rsidRPr="00891C12">
          <w:rPr>
            <w:rStyle w:val="Hipercze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Generator Wniosków</w:t>
        </w:r>
      </w:hyperlink>
    </w:p>
    <w:p w:rsidR="00D8074B" w:rsidRDefault="00D8074B" w:rsidP="00D807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D8074B" w:rsidRPr="00056E3B" w:rsidRDefault="00056E3B" w:rsidP="00056E3B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I. </w:t>
      </w:r>
      <w:r w:rsidR="00227792" w:rsidRPr="004702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Branżowy Program Promocji – Zaplan</w:t>
      </w:r>
      <w:r w:rsidR="009106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uj działania zgodne z programem</w:t>
      </w:r>
    </w:p>
    <w:p w:rsidR="00D8074B" w:rsidRPr="00056E3B" w:rsidRDefault="00056E3B" w:rsidP="00056E3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1. </w:t>
      </w:r>
      <w:r w:rsidR="00A2045A" w:rsidRP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Sprawdź czy w dokumencie rejestrowym masz wpisany kod PKD działalności, zgodny z tymi, które są </w:t>
      </w:r>
      <w:r w:rsidR="00227792" w:rsidRP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</w:t>
      </w:r>
      <w:r w:rsidR="00A2045A" w:rsidRP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pisane w</w:t>
      </w:r>
      <w:r w:rsidR="00D8074B" w:rsidRPr="00056E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programie branżowym, tj.:</w:t>
      </w:r>
    </w:p>
    <w:p w:rsidR="00370F72" w:rsidRPr="00370F72" w:rsidRDefault="00370F72" w:rsidP="00056E3B">
      <w:pPr>
        <w:spacing w:before="120" w:after="120" w:line="240" w:lineRule="auto"/>
        <w:ind w:left="705" w:hanging="34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79 Działalność organizatorów turystyki, pośredników i agentów turystycznych oraz pozostała działalność usługowa w zakresie rezerwacji i działalności z nią związane:</w:t>
      </w:r>
    </w:p>
    <w:p w:rsidR="00370F72" w:rsidRPr="00370F72" w:rsidRDefault="00370F72" w:rsidP="00056E3B">
      <w:pPr>
        <w:spacing w:before="120" w:after="120" w:line="240" w:lineRule="auto"/>
        <w:ind w:left="1416" w:hanging="70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79.1 Działalność agentów i pośredników turystycznych oraz organizatorów turystyki</w:t>
      </w:r>
    </w:p>
    <w:p w:rsidR="00370F72" w:rsidRPr="00370F72" w:rsidRDefault="00370F72" w:rsidP="00056E3B">
      <w:pPr>
        <w:spacing w:before="120" w:after="120" w:line="240" w:lineRule="auto"/>
        <w:ind w:left="1413" w:hanging="70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79.9 Pozostała działalność usługowa w zakresie rezerwacji i działalności z nią związane</w:t>
      </w:r>
    </w:p>
    <w:p w:rsidR="00370F72" w:rsidRPr="00370F72" w:rsidRDefault="00370F72" w:rsidP="00370F72">
      <w:pPr>
        <w:spacing w:before="120" w:after="120" w:line="240" w:lineRule="auto"/>
        <w:ind w:firstLine="36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b.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55 Zakwaterowanie: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55.1 Hotele i podobne obiekty zakwaterowania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55.2 Obiekty noclegowe turystyczne i miejsca krótkotrwałego zakwaterowania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iii.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55.9 Pozostałe zakwaterowanie</w:t>
      </w:r>
    </w:p>
    <w:p w:rsidR="00370F72" w:rsidRPr="00370F72" w:rsidRDefault="00370F72" w:rsidP="00370F72">
      <w:pPr>
        <w:spacing w:before="120" w:after="120" w:line="240" w:lineRule="auto"/>
        <w:ind w:firstLine="36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 Opieka zdrowotna: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86.9 Pozostała działalność w zakresie opieki zdrowotnej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86.10.Z – Działalność szpitali,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iii.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86.21.Z – Praktyka lekarska ogólna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iv.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86.22.Z – Praktyka lekarska specjalistyczna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v.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86.23.Z – Praktyka lekarska dentystyczna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vi.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86.90.A Działalność fizjoterapeutyczna</w:t>
      </w:r>
    </w:p>
    <w:p w:rsidR="00370F72" w:rsidRPr="00370F72" w:rsidRDefault="00370F72" w:rsidP="00370F72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vii.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86.90.D Działalność paramedyczna</w:t>
      </w:r>
    </w:p>
    <w:p w:rsidR="00370F72" w:rsidRDefault="00370F72" w:rsidP="00056E3B">
      <w:pPr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lastRenderedPageBreak/>
        <w:t>viii.</w:t>
      </w: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86.90.E Pozostała działalność w zakresie opieki zdrowotnej, gdzie indziej niesklasyfikowana.</w:t>
      </w:r>
    </w:p>
    <w:p w:rsidR="00D8074B" w:rsidRPr="00056E3B" w:rsidRDefault="00D8074B" w:rsidP="00056E3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370F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Program nie jest skierowany do przedsiębiorców zajmujących się wyłącznie pośrednictwem w sprzedaży czy sprzedażą hurtową produktów lub usług innych producentów.</w:t>
      </w:r>
    </w:p>
    <w:p w:rsidR="00D8074B" w:rsidRDefault="00227792" w:rsidP="0047029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Wybierz działania jakie chcesz zrealizować.</w:t>
      </w:r>
    </w:p>
    <w:p w:rsidR="00C901A6" w:rsidRPr="00056E3B" w:rsidRDefault="00C901A6" w:rsidP="0047029C">
      <w:pPr>
        <w:pStyle w:val="Akapitzlist"/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056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!Pamiętaj!, że muszą być one zgodnie z programem branżowym.</w:t>
      </w:r>
    </w:p>
    <w:p w:rsidR="00D8074B" w:rsidRDefault="00D8074B" w:rsidP="0047029C">
      <w:pPr>
        <w:pStyle w:val="Akapitzlist"/>
        <w:spacing w:before="100" w:beforeAutospacing="1" w:after="100" w:afterAutospacing="1" w:line="276" w:lineRule="auto"/>
        <w:ind w:left="178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D8074B" w:rsidRDefault="00C901A6" w:rsidP="0047029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Zrealizuj</w:t>
      </w:r>
      <w:r w:rsidR="00A2045A"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obligatoryjne działania </w:t>
      </w:r>
      <w:r w:rsidR="00605F2D"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programu branżowego.</w:t>
      </w:r>
    </w:p>
    <w:p w:rsidR="00D8074B" w:rsidRDefault="00236546" w:rsidP="00056E3B">
      <w:pPr>
        <w:pStyle w:val="Akapitzlist"/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tj.: </w:t>
      </w:r>
      <w:r w:rsidR="00227792"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Przedsiębiorca jest zobowiązany do realizacji, w ramach Programu, co najmniej trzech (3) działań promocyjnych:</w:t>
      </w:r>
    </w:p>
    <w:p w:rsidR="00056E3B" w:rsidRPr="00056E3B" w:rsidRDefault="00056E3B" w:rsidP="00056E3B">
      <w:pPr>
        <w:pStyle w:val="Akapitzlist"/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D8074B" w:rsidRPr="00D8074B" w:rsidRDefault="00227792" w:rsidP="0047029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misje wyjazdowe,</w:t>
      </w:r>
    </w:p>
    <w:p w:rsidR="00227792" w:rsidRPr="00D8074B" w:rsidRDefault="00227792" w:rsidP="0047029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misje przyjazdowe,</w:t>
      </w:r>
    </w:p>
    <w:p w:rsidR="00605F2D" w:rsidRPr="00056E3B" w:rsidRDefault="00227792" w:rsidP="00056E3B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stoiska na imprezach targowych lub targowo-konferencyjnych,</w:t>
      </w:r>
    </w:p>
    <w:p w:rsidR="00605F2D" w:rsidRPr="0047029C" w:rsidRDefault="00227792" w:rsidP="00056E3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(mogą być trzy (3) działania jednego rodzaju), w tym do realizacji co najmniej jednego działania promocyjnego (misji wyjazdowej lub stoiska) na wydarzeniu odbywającym się poza granicami Rzeczypospolitej Polskiej, na którym przewidziano organizację narodowego stoiska informacyjno-promocyjnego, wybranym spośród</w:t>
      </w:r>
      <w:r w:rsidR="00605F2D"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wydarzeń wskazanych w Tab. 1.</w:t>
      </w:r>
    </w:p>
    <w:p w:rsidR="00605F2D" w:rsidRPr="00236546" w:rsidRDefault="00605F2D" w:rsidP="0047029C">
      <w:pPr>
        <w:spacing w:before="100" w:beforeAutospacing="1" w:after="100" w:afterAutospacing="1" w:line="240" w:lineRule="auto"/>
        <w:ind w:left="348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236546">
        <w:rPr>
          <w:rFonts w:ascii="Times New Roman" w:eastAsia="Times New Roman" w:hAnsi="Times New Roman" w:cs="Times New Roman"/>
          <w:bCs/>
          <w:kern w:val="36"/>
          <w:lang w:eastAsia="pl-PL"/>
        </w:rPr>
        <w:t>Tab. 1. Wykaz wydarzeń z narodowymi stoiskami informacyjno-promocyjnymi</w:t>
      </w:r>
    </w:p>
    <w:tbl>
      <w:tblPr>
        <w:tblStyle w:val="Jasnalistaakcent11"/>
        <w:tblpPr w:leftFromText="141" w:rightFromText="141" w:vertAnchor="text" w:horzAnchor="margin" w:tblpX="128" w:tblpY="180"/>
        <w:tblW w:w="9073" w:type="dxa"/>
        <w:tblLayout w:type="fixed"/>
        <w:tblLook w:val="00A0" w:firstRow="1" w:lastRow="0" w:firstColumn="1" w:lastColumn="0" w:noHBand="0" w:noVBand="0"/>
        <w:tblCaption w:val="Wykaz targów dla Branżowego Programu Promocji biotechnologii i farmaceutyków. Tabela nr 1. Targi organizowane na rynkach pozaeuropejskich."/>
        <w:tblDescription w:val="W tabeli nr 1 przedstawiono wykaz targów wraz z terminem i miejscem organizacji, a także wskazano, na których z tych imprez zostanie zorganizowane narodowe stoisko informacyjne. &#10;&#10;1. Middle East Pharma Cold Chain Congress, Dubaj, Zjednoczone Emiraty Arabskie, marzec 2017,2018, 2019 - organizacja stoiska narodowego podczas edycji 2018, 2019.  &#10;2. CPhI China, BioPh China, Szanghaj, Chiny, czerwiec 2017, 2018, 2019 - organizacja stoiska narodowego podczas edycji 2018, 2019.  &#10;3. CPhI, BioPh India, Mumbaj, Indie, listopad 2017, 2018 - organizacja stoiska narodowego podczas edycji 2017, 2018.&#10;4. India Pharma, Bengaluru, Indie, styczeń 2018, 2019 - organizacja stoiska narodowego podczas edycji 2018, 2019.  &#10;5. IPhEB CPhI (biotechnologia), Sankt Petersburg, Rosja, marzec 2017, 2018, 2019.&#10;PHARMA, Sankt Petersburg, Rosja, październik 2017, 2018. &#10;6. CPHI Russia, Moskwa, Rosja, marzec / kwiecień, 2017, 2018, 2019 - organizacja stoiska narodowego podczas edycji 2018, 2019.   &#10;7. FCE PHARM, Sao Paulo, Brazylia, maj 2017, 2018, 2019.  &#10;8. BIO International Convention, zmienna lokalizacja, USA, czerwiec 2017, 2018, 2019 - organizacja stoiska narodowego podczas edycji 2018, 2019."/>
      </w:tblPr>
      <w:tblGrid>
        <w:gridCol w:w="3794"/>
        <w:gridCol w:w="3118"/>
        <w:gridCol w:w="2161"/>
      </w:tblGrid>
      <w:tr w:rsidR="00056E3B" w:rsidRPr="00056E3B" w:rsidTr="001F7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056E3B" w:rsidRPr="00056E3B" w:rsidRDefault="00056E3B" w:rsidP="00056E3B">
            <w:pPr>
              <w:rPr>
                <w:rFonts w:ascii="Arial" w:hAnsi="Arial" w:cs="Arial"/>
                <w:sz w:val="20"/>
                <w:szCs w:val="20"/>
              </w:rPr>
            </w:pPr>
            <w:r w:rsidRPr="00056E3B">
              <w:rPr>
                <w:rFonts w:ascii="Arial" w:hAnsi="Arial" w:cs="Arial"/>
                <w:sz w:val="20"/>
                <w:szCs w:val="20"/>
              </w:rPr>
              <w:t>Nazwa wydarzenia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056E3B" w:rsidRPr="00056E3B" w:rsidRDefault="00056E3B" w:rsidP="00056E3B">
            <w:pPr>
              <w:rPr>
                <w:rFonts w:ascii="Arial" w:hAnsi="Arial" w:cs="Arial"/>
                <w:sz w:val="20"/>
                <w:szCs w:val="20"/>
              </w:rPr>
            </w:pPr>
            <w:r w:rsidRPr="00056E3B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161" w:type="dxa"/>
            <w:vAlign w:val="center"/>
          </w:tcPr>
          <w:p w:rsidR="00056E3B" w:rsidRPr="00056E3B" w:rsidRDefault="00056E3B" w:rsidP="00056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6E3B">
              <w:rPr>
                <w:rFonts w:ascii="Arial" w:hAnsi="Arial" w:cs="Arial"/>
                <w:sz w:val="20"/>
                <w:szCs w:val="20"/>
              </w:rPr>
              <w:t>Termin wydarzenia</w:t>
            </w:r>
          </w:p>
        </w:tc>
      </w:tr>
      <w:tr w:rsidR="00056E3B" w:rsidRPr="00056E3B" w:rsidTr="001F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Arab Health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ZEA</w:t>
            </w:r>
          </w:p>
        </w:tc>
        <w:tc>
          <w:tcPr>
            <w:tcW w:w="2161" w:type="dxa"/>
            <w:vAlign w:val="center"/>
          </w:tcPr>
          <w:p w:rsidR="00056E3B" w:rsidRPr="00056E3B" w:rsidRDefault="00056E3B" w:rsidP="00056E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2020</w:t>
            </w:r>
          </w:p>
        </w:tc>
      </w:tr>
      <w:tr w:rsidR="00056E3B" w:rsidRPr="00056E3B" w:rsidTr="001F7F9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Arabian Travel Market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ZEA</w:t>
            </w:r>
          </w:p>
        </w:tc>
        <w:tc>
          <w:tcPr>
            <w:tcW w:w="2161" w:type="dxa"/>
            <w:vAlign w:val="center"/>
          </w:tcPr>
          <w:p w:rsidR="00056E3B" w:rsidRPr="00056E3B" w:rsidRDefault="00056E3B" w:rsidP="00056E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2021</w:t>
            </w:r>
          </w:p>
        </w:tc>
      </w:tr>
      <w:tr w:rsidR="00056E3B" w:rsidRPr="00056E3B" w:rsidTr="001F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Arab Health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ZEA</w:t>
            </w:r>
          </w:p>
        </w:tc>
        <w:tc>
          <w:tcPr>
            <w:tcW w:w="2161" w:type="dxa"/>
            <w:vAlign w:val="center"/>
          </w:tcPr>
          <w:p w:rsidR="00056E3B" w:rsidRPr="00056E3B" w:rsidRDefault="00056E3B" w:rsidP="00056E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2021</w:t>
            </w:r>
          </w:p>
        </w:tc>
      </w:tr>
      <w:tr w:rsidR="00056E3B" w:rsidRPr="00056E3B" w:rsidTr="001F7F9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Global Health Exhibition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056E3B" w:rsidRPr="00056E3B" w:rsidRDefault="00056E3B" w:rsidP="00056E3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Arabia </w:t>
            </w:r>
            <w:proofErr w:type="spellStart"/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Saudyjska</w:t>
            </w:r>
            <w:proofErr w:type="spellEnd"/>
          </w:p>
        </w:tc>
        <w:tc>
          <w:tcPr>
            <w:tcW w:w="2161" w:type="dxa"/>
            <w:vAlign w:val="center"/>
          </w:tcPr>
          <w:p w:rsidR="00056E3B" w:rsidRPr="00056E3B" w:rsidRDefault="00056E3B" w:rsidP="00056E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6E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2022</w:t>
            </w:r>
          </w:p>
        </w:tc>
      </w:tr>
    </w:tbl>
    <w:p w:rsidR="00605F2D" w:rsidRPr="00FA5307" w:rsidRDefault="00605F2D" w:rsidP="00FA530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F004E2" w:rsidRPr="0047029C" w:rsidRDefault="00910646" w:rsidP="004702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Generator Wniosków</w:t>
      </w:r>
    </w:p>
    <w:p w:rsidR="00C901A6" w:rsidRDefault="00C901A6" w:rsidP="00C901A6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F004E2" w:rsidRPr="0047029C" w:rsidRDefault="004458BE" w:rsidP="0047029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Zarejestruj się w generatorze.</w:t>
      </w:r>
    </w:p>
    <w:p w:rsidR="004458BE" w:rsidRPr="0047029C" w:rsidRDefault="004458BE" w:rsidP="0047029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Utwórz wniosek.</w:t>
      </w:r>
    </w:p>
    <w:p w:rsidR="00C901A6" w:rsidRPr="0047029C" w:rsidRDefault="00C901A6" w:rsidP="0047029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Zacznij jego wypełnianie.</w:t>
      </w:r>
    </w:p>
    <w:p w:rsidR="00C901A6" w:rsidRPr="0047029C" w:rsidRDefault="00C901A6" w:rsidP="0047029C">
      <w:pPr>
        <w:pStyle w:val="Akapitzlist"/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Wprowadź dane, które już masz i znasz tj.: Nazwa firmy, NIP, adres….</w:t>
      </w:r>
    </w:p>
    <w:p w:rsidR="0047029C" w:rsidRPr="0047029C" w:rsidRDefault="004458BE" w:rsidP="0047029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Możliwość pracy nad wnioskiem oraz zapisania wprowadzonych informacji.</w:t>
      </w:r>
    </w:p>
    <w:p w:rsidR="004458BE" w:rsidRPr="0047029C" w:rsidRDefault="00C901A6" w:rsidP="0047029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46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!!</w:t>
      </w:r>
      <w:r w:rsidR="004458BE" w:rsidRPr="00D46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UWAGA!!!</w:t>
      </w:r>
      <w:r w:rsidR="004458BE"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Nie zostawiaj wypełnienia wniosku i złożenia wniosku na ostatnią chwilę. Generator może być obciążony.</w:t>
      </w:r>
    </w:p>
    <w:p w:rsidR="00227792" w:rsidRPr="0047029C" w:rsidRDefault="00C901A6" w:rsidP="0047029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106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463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!Pamiętaj!</w:t>
      </w:r>
      <w:r w:rsidRPr="004702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że wnioski w ostatnim dniu naboru można składać do godz. 16:00:00).</w:t>
      </w:r>
    </w:p>
    <w:p w:rsidR="0047029C" w:rsidRPr="00FA5307" w:rsidRDefault="0047029C" w:rsidP="00FA53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47029C" w:rsidRPr="0047029C" w:rsidRDefault="00227792" w:rsidP="004702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Wniosek o dofinansowanie</w:t>
      </w:r>
    </w:p>
    <w:p w:rsidR="0047029C" w:rsidRDefault="0047029C" w:rsidP="0047029C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3B7FFB" w:rsidRPr="00D4632C" w:rsidRDefault="00891C12" w:rsidP="0091064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7029C">
        <w:rPr>
          <w:rFonts w:ascii="Times New Roman" w:hAnsi="Times New Roman" w:cs="Times New Roman"/>
          <w:sz w:val="24"/>
          <w:szCs w:val="24"/>
        </w:rPr>
        <w:t>Przedmiotem projektu może być konkretny produkt lub grupa produktów, jeśli należą do tego samego rodzaju.</w:t>
      </w:r>
    </w:p>
    <w:p w:rsidR="00D4632C" w:rsidRPr="0047029C" w:rsidRDefault="00910646" w:rsidP="0091064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Projekt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musi </w:t>
      </w:r>
      <w:r w:rsidRP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dotyczy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ć</w:t>
      </w:r>
      <w:r w:rsidRP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marki produktowej </w:t>
      </w:r>
      <w:r w:rsidRPr="009106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wnioskodawcy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:rsidR="0047029C" w:rsidRDefault="00D4632C" w:rsidP="0091064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Postępuj zgodnie z instrukcją wypełniania wniosku.</w:t>
      </w:r>
    </w:p>
    <w:p w:rsidR="00D4632C" w:rsidRDefault="00D4632C" w:rsidP="0091064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Sprawdź czy spełniasz kryteria oceny.</w:t>
      </w:r>
    </w:p>
    <w:p w:rsidR="00756A2B" w:rsidRDefault="00910646" w:rsidP="00756A2B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Zaplanuj zadania w projekcie, (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: targi, misje…) i koszty w ramach zadań.</w:t>
      </w:r>
    </w:p>
    <w:p w:rsidR="00756A2B" w:rsidRDefault="00756A2B" w:rsidP="00756A2B">
      <w:pPr>
        <w:pStyle w:val="Akapitzlist"/>
        <w:spacing w:before="100" w:beforeAutospacing="1" w:after="100" w:afterAutospacing="1" w:line="276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Będziesz zobowiązany opisać</w:t>
      </w:r>
      <w:r w:rsidRPr="0075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cele i budżet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Muszą one stanowić</w:t>
      </w:r>
      <w:r w:rsidRPr="0075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zwartą i logiczną całość obrazującą przyczyny, przebieg i efekty planowanego do realizacji przedsięwzięcia.</w:t>
      </w:r>
    </w:p>
    <w:p w:rsidR="002D169A" w:rsidRDefault="002D169A" w:rsidP="002D169A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Zaplanuj wydatki w projekcie.</w:t>
      </w:r>
    </w:p>
    <w:p w:rsidR="002D169A" w:rsidRPr="002D169A" w:rsidRDefault="002D169A" w:rsidP="002D169A">
      <w:pPr>
        <w:pStyle w:val="Akapitzlist"/>
        <w:spacing w:before="100" w:beforeAutospacing="1" w:after="100" w:afterAutospacing="1" w:line="276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!Pamiętaj! Muszą być zgodne z katalogiem wydatków kwalifikowanych oraz racjonalne, uzasadnione. W</w:t>
      </w:r>
      <w:r w:rsidRPr="002D16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ydatki muszą być niezbędne i bezpośrednio związane </w:t>
      </w:r>
      <w:r w:rsidR="003255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Pr="002D16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realizacją działań uznanych za kwalifikowalne i zaplanowanych w projekcie tj. działań, które są zgodne z zakresem projektu oraz programem promocji. </w:t>
      </w:r>
    </w:p>
    <w:p w:rsidR="002D169A" w:rsidRPr="00756A2B" w:rsidRDefault="002D169A" w:rsidP="002D169A">
      <w:pPr>
        <w:pStyle w:val="Akapitzlist"/>
        <w:spacing w:before="100" w:beforeAutospacing="1" w:after="100" w:afterAutospacing="1" w:line="276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D16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Wnioskodawca jest zobowiązany wykazać w dokumentacji aplikacyjnej konieczność poniesienia każdego wydatku i jego związek z planowanym przedsięwzięciem.</w:t>
      </w:r>
    </w:p>
    <w:p w:rsidR="00910646" w:rsidRDefault="00D4632C" w:rsidP="0091064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Rozpocznij planowanie budżetu.</w:t>
      </w:r>
      <w:r w:rsid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To zajmuje najwięcej czasu.</w:t>
      </w:r>
    </w:p>
    <w:p w:rsidR="00910646" w:rsidRPr="00910646" w:rsidRDefault="00756A2B" w:rsidP="00910646">
      <w:pPr>
        <w:pStyle w:val="Akapitzlist"/>
        <w:spacing w:before="100" w:beforeAutospacing="1" w:after="100" w:afterAutospacing="1" w:line="276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Będziesz</w:t>
      </w:r>
      <w:r w:rsidR="00910646" w:rsidRP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zobowiązany przedstawić w dokumentacji aplikacyjnej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m.in</w:t>
      </w:r>
      <w:r w:rsidR="00910646" w:rsidRP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:</w:t>
      </w:r>
    </w:p>
    <w:p w:rsidR="00910646" w:rsidRPr="00910646" w:rsidRDefault="00910646" w:rsidP="00910646">
      <w:pPr>
        <w:pStyle w:val="Akapitzlist"/>
        <w:spacing w:before="100" w:beforeAutospacing="1" w:after="100" w:afterAutospacing="1" w:line="276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- sposób kalkulacji poszczególnych wydatków w odniesieniu do każdego rodzaju wydatku, w tym podania kosztu jednostkowego i szacowanej liczby jednostek oraz</w:t>
      </w:r>
    </w:p>
    <w:p w:rsidR="00910646" w:rsidRDefault="00910646" w:rsidP="00910646">
      <w:pPr>
        <w:pStyle w:val="Akapitzlist"/>
        <w:spacing w:before="100" w:beforeAutospacing="1" w:after="100" w:afterAutospacing="1" w:line="276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106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- sposób przeprowadzenia rozeznania rynku i wskazanie źródeł danych, na podstawie których określono kwoty poszczególnych wydatków.</w:t>
      </w:r>
    </w:p>
    <w:p w:rsidR="00910646" w:rsidRPr="00FA5307" w:rsidRDefault="00DA5A47" w:rsidP="00FA5307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Zaplanuj wskaźniki projektu.</w:t>
      </w:r>
    </w:p>
    <w:p w:rsidR="00EA6BF0" w:rsidRDefault="00EA6BF0" w:rsidP="0047029C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29C">
        <w:rPr>
          <w:rFonts w:ascii="Times New Roman" w:hAnsi="Times New Roman" w:cs="Times New Roman"/>
          <w:b/>
          <w:sz w:val="24"/>
          <w:szCs w:val="24"/>
        </w:rPr>
        <w:t>Pomoc</w:t>
      </w:r>
    </w:p>
    <w:p w:rsidR="0047029C" w:rsidRPr="0047029C" w:rsidRDefault="0047029C" w:rsidP="0047029C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1C12" w:rsidRDefault="00EA6BF0" w:rsidP="0047029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47029C">
        <w:rPr>
          <w:rFonts w:ascii="Times New Roman" w:hAnsi="Times New Roman" w:cs="Times New Roman"/>
        </w:rPr>
        <w:t xml:space="preserve">Obejrzyj </w:t>
      </w:r>
      <w:hyperlink r:id="rId9" w:history="1">
        <w:proofErr w:type="spellStart"/>
        <w:r w:rsidR="00891C12" w:rsidRPr="0047029C">
          <w:rPr>
            <w:rStyle w:val="Hipercze"/>
            <w:rFonts w:ascii="Times New Roman" w:hAnsi="Times New Roman" w:cs="Times New Roman"/>
          </w:rPr>
          <w:t>Webinar</w:t>
        </w:r>
        <w:proofErr w:type="spellEnd"/>
        <w:r w:rsidR="00891C12" w:rsidRPr="0047029C">
          <w:rPr>
            <w:rStyle w:val="Hipercze"/>
            <w:rFonts w:ascii="Times New Roman" w:hAnsi="Times New Roman" w:cs="Times New Roman"/>
          </w:rPr>
          <w:t xml:space="preserve"> ze spotkania informacyjnego</w:t>
        </w:r>
      </w:hyperlink>
      <w:r w:rsidR="00891C12" w:rsidRPr="0047029C">
        <w:rPr>
          <w:rFonts w:ascii="Times New Roman" w:hAnsi="Times New Roman" w:cs="Times New Roman"/>
        </w:rPr>
        <w:t xml:space="preserve"> do działania 3.3.3 POIR „Wsparcie MŚP w promocji marek produktowych - Go To Brand”</w:t>
      </w:r>
      <w:r w:rsidRPr="0047029C">
        <w:rPr>
          <w:rFonts w:ascii="Times New Roman" w:hAnsi="Times New Roman" w:cs="Times New Roman"/>
        </w:rPr>
        <w:t>.</w:t>
      </w:r>
    </w:p>
    <w:p w:rsidR="00DA5A47" w:rsidRPr="0047029C" w:rsidRDefault="00DA5A47" w:rsidP="00DA5A47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Wyjaśnione były założenia projektu oraz zasady wypełniania wniosku.</w:t>
      </w:r>
    </w:p>
    <w:p w:rsidR="00EA6BF0" w:rsidRPr="0047029C" w:rsidRDefault="00EA6BF0" w:rsidP="0047029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47029C">
        <w:rPr>
          <w:rFonts w:ascii="Times New Roman" w:hAnsi="Times New Roman" w:cs="Times New Roman"/>
        </w:rPr>
        <w:t>Sprawdź</w:t>
      </w:r>
      <w:hyperlink r:id="rId10" w:anchor="faq" w:history="1">
        <w:r w:rsidRPr="0047029C">
          <w:rPr>
            <w:rStyle w:val="Hipercze"/>
            <w:rFonts w:ascii="Times New Roman" w:hAnsi="Times New Roman" w:cs="Times New Roman"/>
          </w:rPr>
          <w:t xml:space="preserve"> FAQ</w:t>
        </w:r>
      </w:hyperlink>
      <w:r w:rsidRPr="0047029C">
        <w:rPr>
          <w:rFonts w:ascii="Times New Roman" w:hAnsi="Times New Roman" w:cs="Times New Roman"/>
        </w:rPr>
        <w:t>.</w:t>
      </w:r>
    </w:p>
    <w:p w:rsidR="0047029C" w:rsidRPr="0047029C" w:rsidRDefault="00EA6BF0" w:rsidP="0047029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47029C">
        <w:rPr>
          <w:rFonts w:ascii="Times New Roman" w:hAnsi="Times New Roman" w:cs="Times New Roman"/>
        </w:rPr>
        <w:t>Telefoniczny dyżur eksperta</w:t>
      </w:r>
      <w:r w:rsidR="00D8074B" w:rsidRPr="0047029C">
        <w:rPr>
          <w:rFonts w:ascii="Times New Roman" w:hAnsi="Times New Roman" w:cs="Times New Roman"/>
        </w:rPr>
        <w:t xml:space="preserve"> w środy i piątki w godzinach 10:00-12:00 pod numerem telefonu 22 432 89 37. </w:t>
      </w:r>
    </w:p>
    <w:p w:rsidR="0047029C" w:rsidRPr="0047029C" w:rsidRDefault="0047029C" w:rsidP="0047029C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47029C">
        <w:rPr>
          <w:rFonts w:ascii="Times New Roman" w:hAnsi="Times New Roman" w:cs="Times New Roman"/>
        </w:rPr>
        <w:t>Kontakt z Infolinią PARP od poniedziałku do piątku w godzinach od 8:30 do 16:30  pod numerem telefonu 801 332 202, 22 574 07 07 bądź mailowo</w:t>
      </w:r>
      <w:r w:rsidR="00D4632C">
        <w:rPr>
          <w:rFonts w:ascii="Times New Roman" w:hAnsi="Times New Roman" w:cs="Times New Roman"/>
        </w:rPr>
        <w:t>:</w:t>
      </w:r>
      <w:r w:rsidRPr="0047029C">
        <w:rPr>
          <w:rFonts w:ascii="Times New Roman" w:hAnsi="Times New Roman" w:cs="Times New Roman"/>
        </w:rPr>
        <w:t xml:space="preserve"> info@parp.gov.pl</w:t>
      </w:r>
    </w:p>
    <w:p w:rsidR="0047029C" w:rsidRPr="0047029C" w:rsidRDefault="0047029C" w:rsidP="002D169A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</w:p>
    <w:p w:rsidR="00D8074B" w:rsidRPr="00D8074B" w:rsidRDefault="00D8074B" w:rsidP="0047029C">
      <w:pPr>
        <w:pStyle w:val="Akapitzlist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A6BF0" w:rsidRPr="00EA6BF0" w:rsidRDefault="00EA6BF0" w:rsidP="0047029C">
      <w:pPr>
        <w:pStyle w:val="Akapitzlist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EA6BF0" w:rsidRPr="00EA6B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87" w:rsidRDefault="003F3087" w:rsidP="00D8074B">
      <w:pPr>
        <w:spacing w:after="0" w:line="240" w:lineRule="auto"/>
      </w:pPr>
      <w:r>
        <w:separator/>
      </w:r>
    </w:p>
  </w:endnote>
  <w:endnote w:type="continuationSeparator" w:id="0">
    <w:p w:rsidR="003F3087" w:rsidRDefault="003F3087" w:rsidP="00D8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B" w:rsidRPr="00D8074B" w:rsidRDefault="00D8074B" w:rsidP="00D8074B">
    <w:pPr>
      <w:pStyle w:val="Stopka"/>
    </w:pPr>
    <w:r>
      <w:rPr>
        <w:noProof/>
        <w:lang w:eastAsia="pl-PL"/>
      </w:rPr>
      <w:drawing>
        <wp:inline distT="0" distB="0" distL="0" distR="0" wp14:anchorId="2DC6CBEC" wp14:editId="4E3DF1A4">
          <wp:extent cx="5760720" cy="787400"/>
          <wp:effectExtent l="0" t="0" r="0" b="0"/>
          <wp:docPr id="26" name="Obraz 25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15="http://schemas.microsoft.com/office/word/2012/wordml" id="{47E10BDA-CE1E-4C69-805F-3BDA803E42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5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15="http://schemas.microsoft.com/office/word/2012/wordml" id="{47E10BDA-CE1E-4C69-805F-3BDA803E42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87" w:rsidRDefault="003F3087" w:rsidP="00D8074B">
      <w:pPr>
        <w:spacing w:after="0" w:line="240" w:lineRule="auto"/>
      </w:pPr>
      <w:r>
        <w:separator/>
      </w:r>
    </w:p>
  </w:footnote>
  <w:footnote w:type="continuationSeparator" w:id="0">
    <w:p w:rsidR="003F3087" w:rsidRDefault="003F3087" w:rsidP="00D8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E73"/>
    <w:multiLevelType w:val="hybridMultilevel"/>
    <w:tmpl w:val="3BFC8D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A34C18"/>
    <w:multiLevelType w:val="hybridMultilevel"/>
    <w:tmpl w:val="DAE8B3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F1FE7"/>
    <w:multiLevelType w:val="hybridMultilevel"/>
    <w:tmpl w:val="0CDEE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44152"/>
    <w:multiLevelType w:val="hybridMultilevel"/>
    <w:tmpl w:val="6A8628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8D7E41"/>
    <w:multiLevelType w:val="hybridMultilevel"/>
    <w:tmpl w:val="C6A8AD04"/>
    <w:lvl w:ilvl="0" w:tplc="E23EEC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3193"/>
    <w:multiLevelType w:val="hybridMultilevel"/>
    <w:tmpl w:val="A3047408"/>
    <w:lvl w:ilvl="0" w:tplc="53CC217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D9456C"/>
    <w:multiLevelType w:val="hybridMultilevel"/>
    <w:tmpl w:val="23A4C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A62D8"/>
    <w:multiLevelType w:val="hybridMultilevel"/>
    <w:tmpl w:val="AC245268"/>
    <w:lvl w:ilvl="0" w:tplc="708C08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96D32"/>
    <w:multiLevelType w:val="hybridMultilevel"/>
    <w:tmpl w:val="1E8C2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B3435"/>
    <w:multiLevelType w:val="hybridMultilevel"/>
    <w:tmpl w:val="ECA294AC"/>
    <w:lvl w:ilvl="0" w:tplc="088679F4">
      <w:start w:val="9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D82337D"/>
    <w:multiLevelType w:val="hybridMultilevel"/>
    <w:tmpl w:val="0F6881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EE8CEDC">
      <w:start w:val="1"/>
      <w:numFmt w:val="lowerLetter"/>
      <w:lvlText w:val="%2)"/>
      <w:lvlJc w:val="left"/>
      <w:pPr>
        <w:ind w:left="192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211694"/>
    <w:multiLevelType w:val="hybridMultilevel"/>
    <w:tmpl w:val="D68C5DF4"/>
    <w:lvl w:ilvl="0" w:tplc="E23EECA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EDFEE7BA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BA0621"/>
    <w:multiLevelType w:val="hybridMultilevel"/>
    <w:tmpl w:val="9EA23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B69E1"/>
    <w:multiLevelType w:val="hybridMultilevel"/>
    <w:tmpl w:val="A9268436"/>
    <w:lvl w:ilvl="0" w:tplc="607619A8">
      <w:start w:val="9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EE802B9"/>
    <w:multiLevelType w:val="hybridMultilevel"/>
    <w:tmpl w:val="584E145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76642559"/>
    <w:multiLevelType w:val="hybridMultilevel"/>
    <w:tmpl w:val="11020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E1D69"/>
    <w:multiLevelType w:val="hybridMultilevel"/>
    <w:tmpl w:val="9850A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3C85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6"/>
  </w:num>
  <w:num w:numId="10">
    <w:abstractNumId w:val="15"/>
  </w:num>
  <w:num w:numId="11">
    <w:abstractNumId w:val="11"/>
  </w:num>
  <w:num w:numId="12">
    <w:abstractNumId w:val="6"/>
  </w:num>
  <w:num w:numId="13">
    <w:abstractNumId w:val="12"/>
  </w:num>
  <w:num w:numId="14">
    <w:abstractNumId w:val="1"/>
  </w:num>
  <w:num w:numId="15">
    <w:abstractNumId w:val="1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09"/>
    <w:rsid w:val="00056E3B"/>
    <w:rsid w:val="000A1A48"/>
    <w:rsid w:val="00194F65"/>
    <w:rsid w:val="00227792"/>
    <w:rsid w:val="00236546"/>
    <w:rsid w:val="002D169A"/>
    <w:rsid w:val="003255DD"/>
    <w:rsid w:val="00370F72"/>
    <w:rsid w:val="003F3087"/>
    <w:rsid w:val="004458BE"/>
    <w:rsid w:val="0047029C"/>
    <w:rsid w:val="00605F2D"/>
    <w:rsid w:val="00756A2B"/>
    <w:rsid w:val="00774DE7"/>
    <w:rsid w:val="00891C12"/>
    <w:rsid w:val="00910646"/>
    <w:rsid w:val="00970D09"/>
    <w:rsid w:val="00973930"/>
    <w:rsid w:val="0098652B"/>
    <w:rsid w:val="00A2045A"/>
    <w:rsid w:val="00B9127C"/>
    <w:rsid w:val="00C27B6B"/>
    <w:rsid w:val="00C55C44"/>
    <w:rsid w:val="00C901A6"/>
    <w:rsid w:val="00D4632C"/>
    <w:rsid w:val="00D8074B"/>
    <w:rsid w:val="00DA5A47"/>
    <w:rsid w:val="00E46E98"/>
    <w:rsid w:val="00EA6BF0"/>
    <w:rsid w:val="00F004E2"/>
    <w:rsid w:val="00F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D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0D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74B"/>
  </w:style>
  <w:style w:type="paragraph" w:styleId="Stopka">
    <w:name w:val="footer"/>
    <w:basedOn w:val="Normalny"/>
    <w:link w:val="StopkaZnak"/>
    <w:uiPriority w:val="99"/>
    <w:unhideWhenUsed/>
    <w:rsid w:val="00D8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74B"/>
  </w:style>
  <w:style w:type="paragraph" w:customStyle="1" w:styleId="text-mm-18">
    <w:name w:val="text-mm-18"/>
    <w:basedOn w:val="Normalny"/>
    <w:rsid w:val="0047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F7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70F72"/>
    <w:rPr>
      <w:color w:val="954F72" w:themeColor="followedHyperlink"/>
      <w:u w:val="single"/>
    </w:rPr>
  </w:style>
  <w:style w:type="table" w:customStyle="1" w:styleId="Jasnalistaakcent11">
    <w:name w:val="Jasna lista — akcent 11"/>
    <w:basedOn w:val="Standardowy"/>
    <w:next w:val="Jasnalistaakcent1"/>
    <w:uiPriority w:val="61"/>
    <w:rsid w:val="00056E3B"/>
    <w:pPr>
      <w:spacing w:after="0" w:line="240" w:lineRule="auto"/>
    </w:pPr>
    <w:rPr>
      <w:rFonts w:ascii="Calibri" w:eastAsia="Calibri" w:hAnsi="Calibri" w:cs="Times New Roman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1">
    <w:name w:val="Light List Accent 1"/>
    <w:basedOn w:val="Standardowy"/>
    <w:uiPriority w:val="61"/>
    <w:rsid w:val="00056E3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D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0D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74B"/>
  </w:style>
  <w:style w:type="paragraph" w:styleId="Stopka">
    <w:name w:val="footer"/>
    <w:basedOn w:val="Normalny"/>
    <w:link w:val="StopkaZnak"/>
    <w:uiPriority w:val="99"/>
    <w:unhideWhenUsed/>
    <w:rsid w:val="00D8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74B"/>
  </w:style>
  <w:style w:type="paragraph" w:customStyle="1" w:styleId="text-mm-18">
    <w:name w:val="text-mm-18"/>
    <w:basedOn w:val="Normalny"/>
    <w:rsid w:val="0047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F7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70F72"/>
    <w:rPr>
      <w:color w:val="954F72" w:themeColor="followedHyperlink"/>
      <w:u w:val="single"/>
    </w:rPr>
  </w:style>
  <w:style w:type="table" w:customStyle="1" w:styleId="Jasnalistaakcent11">
    <w:name w:val="Jasna lista — akcent 11"/>
    <w:basedOn w:val="Standardowy"/>
    <w:next w:val="Jasnalistaakcent1"/>
    <w:uiPriority w:val="61"/>
    <w:rsid w:val="00056E3B"/>
    <w:pPr>
      <w:spacing w:after="0" w:line="240" w:lineRule="auto"/>
    </w:pPr>
    <w:rPr>
      <w:rFonts w:ascii="Calibri" w:eastAsia="Calibri" w:hAnsi="Calibri" w:cs="Times New Roman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1">
    <w:name w:val="Light List Accent 1"/>
    <w:basedOn w:val="Standardowy"/>
    <w:uiPriority w:val="61"/>
    <w:rsid w:val="00056E3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1420.parp.gov.pl/hom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ir.parp.gov.pl/component/grants/grants/go-to-br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8sOrFMmVg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Czerwińska Grażyna</dc:creator>
  <cp:lastModifiedBy>Ewa Kubel</cp:lastModifiedBy>
  <cp:revision>2</cp:revision>
  <dcterms:created xsi:type="dcterms:W3CDTF">2020-02-19T14:54:00Z</dcterms:created>
  <dcterms:modified xsi:type="dcterms:W3CDTF">2020-02-19T14:54:00Z</dcterms:modified>
</cp:coreProperties>
</file>